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8E55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8E55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ขอนแก่น</w:t>
                            </w:r>
                            <w:bookmarkStart w:id="0" w:name="_GoBack"/>
                            <w:bookmarkEnd w:id="0"/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8E55D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8E55D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ขอนแก่น</w:t>
                      </w:r>
                      <w:bookmarkStart w:id="1" w:name="_GoBack"/>
                      <w:bookmarkEnd w:id="1"/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73" w:rsidRDefault="00CB2073">
      <w:r>
        <w:separator/>
      </w:r>
    </w:p>
  </w:endnote>
  <w:endnote w:type="continuationSeparator" w:id="0">
    <w:p w:rsidR="00CB2073" w:rsidRDefault="00CB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73" w:rsidRDefault="00CB2073">
      <w:r>
        <w:separator/>
      </w:r>
    </w:p>
  </w:footnote>
  <w:footnote w:type="continuationSeparator" w:id="0">
    <w:p w:rsidR="00CB2073" w:rsidRDefault="00CB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8E55D8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2073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52A10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2022-08-03T10:18:00Z</dcterms:modified>
</cp:coreProperties>
</file>